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EC31D" w14:textId="77777777" w:rsidR="00FE3E0B" w:rsidRDefault="00FE3E0B" w:rsidP="00FE3E0B">
      <w:pPr>
        <w:spacing w:after="0" w:line="240" w:lineRule="auto"/>
        <w:ind w:right="-12" w:firstLine="539"/>
        <w:jc w:val="center"/>
        <w:rPr>
          <w:rFonts w:ascii="Times New Roman" w:eastAsia="Times New Roman" w:hAnsi="Times New Roman" w:cs="Times New Roman"/>
          <w:b/>
          <w:snapToGrid w:val="0"/>
          <w:kern w:val="0"/>
          <w:sz w:val="28"/>
          <w:szCs w:val="28"/>
          <w:lang w:eastAsia="ru-RU"/>
          <w14:ligatures w14:val="none"/>
        </w:rPr>
      </w:pPr>
      <w:r w:rsidRPr="00FE3E0B">
        <w:rPr>
          <w:rFonts w:ascii="Times New Roman" w:eastAsia="Times New Roman" w:hAnsi="Times New Roman" w:cs="Times New Roman"/>
          <w:b/>
          <w:snapToGrid w:val="0"/>
          <w:kern w:val="0"/>
          <w:sz w:val="28"/>
          <w:szCs w:val="28"/>
          <w:lang w:eastAsia="ru-RU"/>
          <w14:ligatures w14:val="none"/>
        </w:rPr>
        <w:t xml:space="preserve"> ТРЕБОВАНИЯ К ЗАЯВИТЕЛЮ</w:t>
      </w:r>
    </w:p>
    <w:p w14:paraId="4FE05DE2" w14:textId="77777777" w:rsidR="0010421F" w:rsidRDefault="0010421F" w:rsidP="00FE3E0B">
      <w:pPr>
        <w:spacing w:after="0" w:line="240" w:lineRule="auto"/>
        <w:ind w:right="-12" w:firstLine="539"/>
        <w:jc w:val="center"/>
        <w:rPr>
          <w:rFonts w:ascii="Times New Roman" w:eastAsia="Times New Roman" w:hAnsi="Times New Roman" w:cs="Times New Roman"/>
          <w:b/>
          <w:snapToGrid w:val="0"/>
          <w:kern w:val="0"/>
          <w:sz w:val="28"/>
          <w:szCs w:val="28"/>
          <w:lang w:eastAsia="ru-RU"/>
          <w14:ligatures w14:val="none"/>
        </w:rPr>
      </w:pPr>
    </w:p>
    <w:p w14:paraId="36AA6EBB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Фонд предоставляет Микрозаймы СМСП и/или ОИП, а также Физическим лицам, применяющим специальный налоговый режим, удовлетворяющим требованиям, предъявляемым к Заемщикам, в соответствии с настоящими Правилами.</w:t>
      </w:r>
    </w:p>
    <w:p w14:paraId="4366C5E3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Предоставление Микрозаймов СМСП и/или ОИП, а также Физическим лицам, применяющим специальный налоговый режим, носит заявительный характер и осуществляется на условиях возвратности, срочности, платности, обеспеченности и целевого использования.</w:t>
      </w:r>
    </w:p>
    <w:p w14:paraId="58C27A04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 xml:space="preserve">2.1. Микрозаймы выдаются Заявителям, одновременно удовлетворяющим следующим требованиям:   </w:t>
      </w:r>
    </w:p>
    <w:p w14:paraId="37CFE284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 xml:space="preserve">2.1.1. </w:t>
      </w: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ab/>
        <w:t>СМСП и/или ОИП:</w:t>
      </w:r>
    </w:p>
    <w:p w14:paraId="3D31AD7B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2.1.1.1. включенным в единый реестр субъектов малого и среднего предпринимательства;</w:t>
      </w:r>
    </w:p>
    <w:p w14:paraId="35D9251F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 xml:space="preserve">2.1.1.2. являющимся плательщиком налогов на территории Республики Карелия, осуществляющим деятельность на территории Республики Карелия, в том числе осуществляющим деятельность на территории Республики Карелия через филиалы или обособленные подразделения – в отношении юридических лиц;   </w:t>
      </w:r>
    </w:p>
    <w:p w14:paraId="6671DD24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 xml:space="preserve">2.1.1.3. не имеющим по состоянию на любую дату в течение периода, равного 30 календарным дням, предшествующего дате заключения договора о предоставлении микрозайма, просроченной задолженности по налогам, сборам </w:t>
      </w: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 w:bidi="he-IL"/>
          <w14:ligatures w14:val="none"/>
        </w:rPr>
        <w:t>‎</w:t>
      </w: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 xml:space="preserve">и иным обязательным платежам в бюджеты бюджетной системы Российской Федерации, превышающей 50 тыс. рублей; </w:t>
      </w:r>
    </w:p>
    <w:p w14:paraId="393DA7D6" w14:textId="77777777" w:rsidR="0010421F" w:rsidRPr="0010421F" w:rsidRDefault="0010421F" w:rsidP="0010421F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 xml:space="preserve">       2.1.1.4.</w:t>
      </w: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ab/>
        <w:t xml:space="preserve">в отношении которых не применяются процедуры несостоятельности (банкротства), в том числе: наблюдение, финансовое оздоровление, внешнее управление, конкурсное производство, а также </w:t>
      </w:r>
      <w:r w:rsidRPr="0010421F">
        <w:rPr>
          <w:rFonts w:ascii="Times New Roman" w:eastAsia="SimSun" w:hAnsi="Times New Roman" w:cs="Times New Roman"/>
          <w:snapToGrid w:val="0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в отношении которых (заявителя, учредителя заявителя, владеющего более 50 % уставного капитала юридического лица) с момента </w:t>
      </w:r>
      <w:hyperlink r:id="rId4" w:anchor="dst100069" w:history="1">
        <w:r w:rsidRPr="0010421F">
          <w:rPr>
            <w:rFonts w:ascii="Times New Roman" w:eastAsia="SimSun" w:hAnsi="Times New Roman" w:cs="Times New Roman"/>
            <w:snapToGrid w:val="0"/>
            <w:color w:val="000000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прекращения</w:t>
        </w:r>
      </w:hyperlink>
      <w:r w:rsidRPr="0010421F">
        <w:rPr>
          <w:rFonts w:ascii="Times New Roman" w:eastAsia="SimSun" w:hAnsi="Times New Roman" w:cs="Times New Roman"/>
          <w:snapToGrid w:val="0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 производства по делу о банкротстве  прошло 3 (три) года, </w:t>
      </w: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либо в отношении которых отсутствует факт аннулирования или приостановления действия лицензии (в случае, если деятельность заемщика подлежит лицензированию);</w:t>
      </w:r>
    </w:p>
    <w:p w14:paraId="0D5C9CF4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2.1.1.5. не имеющим отрицательной кредитной истории (наличие фактов просроченных платежей общей продолжительностью свыше 5 календарных дней за последних 180 дней). При рассмотрении кредитной истории ИП наличие фактов просроченных платежей по кредитам, оформленным на физическое лицо, - общая продолжительность не может превышать 10 календарных дней за последние 180 дней).</w:t>
      </w:r>
    </w:p>
    <w:p w14:paraId="34FDF8CF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2.1.1.6. имеющим удовлетворительный кредитный рейтинг. Кредитный рейтинг Заявителя определяется Фондом самостоятельно в порядке, установленном настоящими Правилами (если иное не предусмотрено программами Фонда для отдельных категорий СМСП).</w:t>
      </w:r>
    </w:p>
    <w:p w14:paraId="0E3EF192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lastRenderedPageBreak/>
        <w:t>2.1.1.7. предоставившим обеспечение Микрозайма в размере фактически полученной суммы Микрозайма и уплаты процентов на неё (если иное не предусмотрено программами Фонда для отдельных категорий СМСП).</w:t>
      </w:r>
    </w:p>
    <w:p w14:paraId="1FC635BF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2.1.1.8.</w:t>
      </w: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ab/>
        <w:t>не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14:paraId="1208B3B6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2.1.1.9.</w:t>
      </w: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ab/>
        <w:t>не являющимися участниками соглашений о разделе продукции;</w:t>
      </w:r>
    </w:p>
    <w:p w14:paraId="72E2FFFE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2.1.1.10. не осуществляющим предпринимательскую деятельность в сфере игорного бизнеса;</w:t>
      </w:r>
    </w:p>
    <w:p w14:paraId="098399EE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2.1.1.11. не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14:paraId="18B4ED3F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 xml:space="preserve">2.1.1.12. не осуществляющим </w:t>
      </w:r>
      <w:r w:rsidRPr="0010421F">
        <w:rPr>
          <w:rFonts w:ascii="Times New Roman" w:eastAsia="SimSun" w:hAnsi="Times New Roman" w:cs="Times New Roman"/>
          <w:bCs/>
          <w:snapToGrid w:val="0"/>
          <w:kern w:val="0"/>
          <w:sz w:val="28"/>
          <w:szCs w:val="20"/>
          <w:lang w:eastAsia="ru-RU"/>
          <w14:ligatures w14:val="none"/>
        </w:rPr>
        <w:t xml:space="preserve">производство и (или) реализацию подакцизных товаров, добычу и (или) реализацию полезных ископаемых, за исключением общераспространенных полезных ископаемых и минеральных питьевых вод, </w:t>
      </w:r>
      <w:r w:rsidRPr="0010421F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кроме случаев, установленных Федеральным законодательством и принятыми, в соответствии с ним, иными нормативными актами Правительства</w:t>
      </w: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;</w:t>
      </w:r>
    </w:p>
    <w:p w14:paraId="6FFE3CAF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 xml:space="preserve">2.1.1.13. не имеющим на дату подачи заявки на предоставление микрозайма задолженности перед работниками (персоналом) </w:t>
      </w: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 w:bidi="he-IL"/>
          <w14:ligatures w14:val="none"/>
        </w:rPr>
        <w:t>‎</w:t>
      </w: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по заработной плате более трех месяцев;</w:t>
      </w:r>
    </w:p>
    <w:p w14:paraId="076B0BA0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2.2.1. Физическим лицам, применяющим специальный налоговый режим:</w:t>
      </w:r>
    </w:p>
    <w:p w14:paraId="30A9AAF4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2.2.1.1. имеющим статус налогоплательщика «Налога на профессиональный доход»;</w:t>
      </w:r>
    </w:p>
    <w:p w14:paraId="78102476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 xml:space="preserve">2.2.1.2. зарегистрированным налоговыми органами на территории Республики Карелия, имеющим адрес места нахождения и регистрации на территории Республики Карелия и осуществляющим деятельность на территории Республики Карелия;    </w:t>
      </w:r>
    </w:p>
    <w:p w14:paraId="1E53AA32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2.2.1.3.</w:t>
      </w: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ab/>
        <w:t xml:space="preserve"> в отношении которых не применяются процедуры несостоятельности (банкротства), а также  </w:t>
      </w:r>
      <w:r w:rsidRPr="0010421F">
        <w:rPr>
          <w:rFonts w:ascii="Times New Roman" w:eastAsia="SimSun" w:hAnsi="Times New Roman" w:cs="Times New Roman"/>
          <w:snapToGrid w:val="0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в отношении которых с момента </w:t>
      </w:r>
      <w:hyperlink r:id="rId5" w:anchor="dst100069" w:history="1">
        <w:r w:rsidRPr="0010421F">
          <w:rPr>
            <w:rFonts w:ascii="Times New Roman" w:eastAsia="SimSun" w:hAnsi="Times New Roman" w:cs="Times New Roman"/>
            <w:snapToGrid w:val="0"/>
            <w:color w:val="000000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прекращения</w:t>
        </w:r>
      </w:hyperlink>
      <w:r w:rsidRPr="0010421F">
        <w:rPr>
          <w:rFonts w:ascii="Times New Roman" w:eastAsia="SimSun" w:hAnsi="Times New Roman" w:cs="Times New Roman"/>
          <w:snapToGrid w:val="0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 производства по делу о банкротстве прошло 3 (три) года</w:t>
      </w: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;</w:t>
      </w:r>
    </w:p>
    <w:p w14:paraId="0AB5063A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 xml:space="preserve">2.2.1.4. не имеющим отрицательной кредитной истории (наличие фактов просроченных платежей общей продолжительностью свыше 10 календарных дней за последних 180 дней. </w:t>
      </w:r>
    </w:p>
    <w:p w14:paraId="5DBC8C2D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2.2.1.5.</w:t>
      </w: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ab/>
        <w:t>предоставившим обеспечение Микрозайма в размере фактически полученной суммы Микрозайма и уплаты процентов на неё (если иное не предусмотрено программами Фонда для отдельных категорий Физических лиц, применяющих специальный налоговый режим).</w:t>
      </w:r>
    </w:p>
    <w:p w14:paraId="255A8187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2.2.1.6.</w:t>
      </w: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ab/>
        <w:t>не осуществляющим предпринимательскую деятельность в сфере игорного бизнеса;</w:t>
      </w:r>
    </w:p>
    <w:p w14:paraId="1C27D018" w14:textId="77777777" w:rsidR="0010421F" w:rsidRPr="0010421F" w:rsidRDefault="0010421F" w:rsidP="0010421F">
      <w:pPr>
        <w:spacing w:after="0" w:line="240" w:lineRule="auto"/>
        <w:ind w:right="-12" w:firstLine="540"/>
        <w:jc w:val="both"/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</w:pP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2.2.1.7.</w:t>
      </w: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ab/>
        <w:t xml:space="preserve">не осуществляющим </w:t>
      </w:r>
      <w:r w:rsidRPr="0010421F">
        <w:rPr>
          <w:rFonts w:ascii="Times New Roman" w:eastAsia="SimSun" w:hAnsi="Times New Roman" w:cs="Times New Roman"/>
          <w:bCs/>
          <w:snapToGrid w:val="0"/>
          <w:kern w:val="0"/>
          <w:sz w:val="28"/>
          <w:szCs w:val="20"/>
          <w:lang w:eastAsia="ru-RU"/>
          <w14:ligatures w14:val="none"/>
        </w:rPr>
        <w:t xml:space="preserve">производство и (или) реализацию подакцизных товаров, добычу и (или) реализацию полезных ископаемых, за </w:t>
      </w:r>
      <w:r w:rsidRPr="0010421F">
        <w:rPr>
          <w:rFonts w:ascii="Times New Roman" w:eastAsia="SimSun" w:hAnsi="Times New Roman" w:cs="Times New Roman"/>
          <w:bCs/>
          <w:snapToGrid w:val="0"/>
          <w:kern w:val="0"/>
          <w:sz w:val="28"/>
          <w:szCs w:val="20"/>
          <w:lang w:eastAsia="ru-RU"/>
          <w14:ligatures w14:val="none"/>
        </w:rPr>
        <w:lastRenderedPageBreak/>
        <w:t>исключением общераспространенных полезных ископаемых и минеральных питьевых вод</w:t>
      </w:r>
      <w:r w:rsidRPr="0010421F">
        <w:rPr>
          <w:rFonts w:ascii="Times New Roman" w:eastAsia="SimSun" w:hAnsi="Times New Roman" w:cs="Times New Roman"/>
          <w:snapToGrid w:val="0"/>
          <w:kern w:val="0"/>
          <w:sz w:val="28"/>
          <w:szCs w:val="28"/>
          <w:lang w:eastAsia="ru-RU"/>
          <w14:ligatures w14:val="none"/>
        </w:rPr>
        <w:t>;</w:t>
      </w:r>
    </w:p>
    <w:p w14:paraId="2A86FF51" w14:textId="77777777" w:rsidR="0010421F" w:rsidRPr="00FE3E0B" w:rsidRDefault="0010421F" w:rsidP="00FE3E0B">
      <w:pPr>
        <w:spacing w:after="0" w:line="240" w:lineRule="auto"/>
        <w:ind w:right="-12" w:firstLine="539"/>
        <w:jc w:val="center"/>
        <w:rPr>
          <w:rFonts w:ascii="Times New Roman" w:eastAsia="Times New Roman" w:hAnsi="Times New Roman" w:cs="Times New Roman"/>
          <w:b/>
          <w:snapToGrid w:val="0"/>
          <w:kern w:val="0"/>
          <w:sz w:val="28"/>
          <w:szCs w:val="28"/>
          <w:lang w:eastAsia="ru-RU"/>
          <w14:ligatures w14:val="none"/>
        </w:rPr>
      </w:pPr>
    </w:p>
    <w:p w14:paraId="25A02985" w14:textId="77777777" w:rsidR="00FE3E0B" w:rsidRPr="00FE3E0B" w:rsidRDefault="00FE3E0B" w:rsidP="00FE3E0B">
      <w:pPr>
        <w:spacing w:after="0" w:line="240" w:lineRule="auto"/>
        <w:ind w:right="-12" w:firstLine="539"/>
        <w:jc w:val="both"/>
        <w:rPr>
          <w:rFonts w:ascii="Times New Roman" w:eastAsia="Times New Roman" w:hAnsi="Times New Roman" w:cs="Times New Roman"/>
          <w:snapToGrid w:val="0"/>
          <w:kern w:val="0"/>
          <w:sz w:val="16"/>
          <w:szCs w:val="16"/>
          <w:lang w:eastAsia="ru-RU"/>
          <w14:ligatures w14:val="none"/>
        </w:rPr>
      </w:pPr>
    </w:p>
    <w:sectPr w:rsidR="00FE3E0B" w:rsidRPr="00FE3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E0B"/>
    <w:rsid w:val="0010421F"/>
    <w:rsid w:val="00344BA7"/>
    <w:rsid w:val="00FE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C1FB3"/>
  <w15:chartTrackingRefBased/>
  <w15:docId w15:val="{E32833DA-E875-46C0-A8E9-69759CDD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onsultant.ru/document/cons_doc_LAW_467002/9bc518eb602852cdf02eededeb1f463e94b759bf/" TargetMode="External"/><Relationship Id="rId4" Type="http://schemas.openxmlformats.org/officeDocument/2006/relationships/hyperlink" Target="https://www.consultant.ru/document/cons_doc_LAW_467002/9bc518eb602852cdf02eededeb1f463e94b759b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798</Words>
  <Characters>4555</Characters>
  <Application>Microsoft Office Word</Application>
  <DocSecurity>0</DocSecurity>
  <Lines>37</Lines>
  <Paragraphs>10</Paragraphs>
  <ScaleCrop>false</ScaleCrop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Животовская</dc:creator>
  <cp:keywords/>
  <dc:description/>
  <cp:lastModifiedBy>Светлана Животовская</cp:lastModifiedBy>
  <cp:revision>2</cp:revision>
  <dcterms:created xsi:type="dcterms:W3CDTF">2023-06-20T08:00:00Z</dcterms:created>
  <dcterms:modified xsi:type="dcterms:W3CDTF">2025-01-13T08:17:00Z</dcterms:modified>
</cp:coreProperties>
</file>